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BFAEB" w14:textId="77777777" w:rsidR="00E21C44" w:rsidRPr="00DD08E4" w:rsidRDefault="00C2303E">
      <w:pPr>
        <w:spacing w:line="480" w:lineRule="exact"/>
        <w:ind w:left="817" w:hanging="817"/>
        <w:jc w:val="center"/>
        <w:rPr>
          <w:rFonts w:ascii="標楷體" w:eastAsia="標楷體" w:hAnsi="標楷體"/>
          <w:b/>
          <w:sz w:val="40"/>
          <w:szCs w:val="40"/>
        </w:rPr>
      </w:pPr>
      <w:r w:rsidRPr="00DD08E4">
        <w:rPr>
          <w:rFonts w:ascii="標楷體" w:eastAsia="標楷體" w:hAnsi="標楷體"/>
          <w:b/>
          <w:sz w:val="40"/>
          <w:szCs w:val="40"/>
        </w:rPr>
        <w:t>國家教育研究院公文時效管制實施要點</w:t>
      </w:r>
    </w:p>
    <w:p w14:paraId="5675D679" w14:textId="77777777" w:rsidR="00E21C44" w:rsidRPr="00DD08E4" w:rsidRDefault="00C2303E" w:rsidP="00461C6C">
      <w:pPr>
        <w:spacing w:beforeLines="50" w:before="184" w:line="300" w:lineRule="exact"/>
        <w:jc w:val="right"/>
        <w:rPr>
          <w:rFonts w:ascii="標楷體" w:eastAsia="標楷體" w:hAnsi="標楷體" w:cs="標楷體"/>
          <w:kern w:val="0"/>
          <w:sz w:val="20"/>
          <w:szCs w:val="20"/>
        </w:rPr>
      </w:pPr>
      <w:r w:rsidRPr="00DD08E4">
        <w:rPr>
          <w:rFonts w:ascii="標楷體" w:eastAsia="標楷體" w:hAnsi="標楷體" w:cs="標楷體"/>
          <w:kern w:val="0"/>
          <w:sz w:val="20"/>
          <w:szCs w:val="20"/>
        </w:rPr>
        <w:t>中華民國100年7月12日第9次院務會報通過</w:t>
      </w:r>
    </w:p>
    <w:p w14:paraId="01B1B647" w14:textId="77777777" w:rsidR="00E21C44" w:rsidRPr="00DD08E4" w:rsidRDefault="00C2303E">
      <w:pPr>
        <w:spacing w:line="300" w:lineRule="exact"/>
        <w:jc w:val="right"/>
        <w:rPr>
          <w:rFonts w:ascii="標楷體" w:eastAsia="標楷體" w:hAnsi="標楷體" w:cs="標楷體"/>
          <w:kern w:val="0"/>
          <w:sz w:val="20"/>
          <w:szCs w:val="20"/>
        </w:rPr>
      </w:pPr>
      <w:r w:rsidRPr="00DD08E4">
        <w:rPr>
          <w:rFonts w:ascii="標楷體" w:eastAsia="標楷體" w:hAnsi="標楷體" w:cs="標楷體"/>
          <w:kern w:val="0"/>
          <w:sz w:val="20"/>
          <w:szCs w:val="20"/>
        </w:rPr>
        <w:t>中華民國100年11月8日教研秘字第1000008493號函訂定</w:t>
      </w:r>
    </w:p>
    <w:p w14:paraId="19AA7EDD" w14:textId="11622C43" w:rsidR="00E21C44" w:rsidRPr="00DD08E4" w:rsidRDefault="00C2303E">
      <w:pPr>
        <w:spacing w:line="300" w:lineRule="exact"/>
        <w:jc w:val="right"/>
        <w:rPr>
          <w:rFonts w:ascii="標楷體" w:eastAsia="標楷體" w:hAnsi="標楷體" w:cs="標楷體"/>
          <w:kern w:val="0"/>
          <w:sz w:val="20"/>
          <w:szCs w:val="20"/>
        </w:rPr>
      </w:pPr>
      <w:r w:rsidRPr="00DD08E4">
        <w:rPr>
          <w:rFonts w:ascii="標楷體" w:eastAsia="標楷體" w:hAnsi="標楷體" w:cs="標楷體"/>
          <w:kern w:val="0"/>
          <w:sz w:val="20"/>
          <w:szCs w:val="20"/>
        </w:rPr>
        <w:t>中華民國113年7月29日教研秘字第1131800935號函修正</w:t>
      </w:r>
      <w:r w:rsidR="00617E75" w:rsidRPr="00DD08E4">
        <w:rPr>
          <w:rFonts w:ascii="標楷體" w:eastAsia="標楷體" w:hAnsi="標楷體" w:cs="標楷體" w:hint="eastAsia"/>
          <w:kern w:val="0"/>
          <w:sz w:val="20"/>
          <w:szCs w:val="20"/>
        </w:rPr>
        <w:t>全文</w:t>
      </w:r>
    </w:p>
    <w:p w14:paraId="3CD19930" w14:textId="1CF7E481" w:rsidR="00E21C44" w:rsidRPr="00DD08E4" w:rsidRDefault="00C2303E" w:rsidP="00461C6C">
      <w:pPr>
        <w:spacing w:afterLines="50" w:after="184" w:line="300" w:lineRule="exact"/>
        <w:jc w:val="right"/>
      </w:pPr>
      <w:r w:rsidRPr="00DD08E4">
        <w:rPr>
          <w:rFonts w:ascii="標楷體" w:eastAsia="標楷體" w:hAnsi="標楷體" w:cs="標楷體"/>
          <w:kern w:val="0"/>
          <w:sz w:val="20"/>
          <w:szCs w:val="20"/>
        </w:rPr>
        <w:t>中華民國</w:t>
      </w:r>
      <w:r w:rsidR="00461C6C" w:rsidRPr="00DD08E4">
        <w:rPr>
          <w:rFonts w:ascii="標楷體" w:eastAsia="標楷體" w:hAnsi="標楷體" w:cs="標楷體" w:hint="eastAsia"/>
          <w:kern w:val="0"/>
          <w:sz w:val="20"/>
          <w:szCs w:val="20"/>
        </w:rPr>
        <w:t>113</w:t>
      </w:r>
      <w:r w:rsidRPr="00DD08E4">
        <w:rPr>
          <w:rFonts w:ascii="標楷體" w:eastAsia="標楷體" w:hAnsi="標楷體" w:cs="標楷體"/>
          <w:kern w:val="0"/>
          <w:sz w:val="20"/>
          <w:szCs w:val="20"/>
        </w:rPr>
        <w:t>年</w:t>
      </w:r>
      <w:r w:rsidR="00461C6C" w:rsidRPr="00DD08E4">
        <w:rPr>
          <w:rFonts w:ascii="標楷體" w:eastAsia="標楷體" w:hAnsi="標楷體" w:cs="標楷體" w:hint="eastAsia"/>
          <w:kern w:val="0"/>
          <w:sz w:val="20"/>
          <w:szCs w:val="20"/>
        </w:rPr>
        <w:t>12</w:t>
      </w:r>
      <w:r w:rsidRPr="00DD08E4">
        <w:rPr>
          <w:rFonts w:ascii="標楷體" w:eastAsia="標楷體" w:hAnsi="標楷體" w:cs="標楷體"/>
          <w:kern w:val="0"/>
          <w:sz w:val="20"/>
          <w:szCs w:val="20"/>
        </w:rPr>
        <w:t>月</w:t>
      </w:r>
      <w:r w:rsidR="00461C6C" w:rsidRPr="00DD08E4">
        <w:rPr>
          <w:rFonts w:ascii="標楷體" w:eastAsia="標楷體" w:hAnsi="標楷體" w:cs="標楷體" w:hint="eastAsia"/>
          <w:kern w:val="0"/>
          <w:sz w:val="20"/>
          <w:szCs w:val="20"/>
        </w:rPr>
        <w:t>20</w:t>
      </w:r>
      <w:r w:rsidRPr="00DD08E4">
        <w:rPr>
          <w:rFonts w:ascii="標楷體" w:eastAsia="標楷體" w:hAnsi="標楷體" w:cs="標楷體"/>
          <w:kern w:val="0"/>
          <w:sz w:val="20"/>
          <w:szCs w:val="20"/>
        </w:rPr>
        <w:t>日教研秘字第</w:t>
      </w:r>
      <w:r w:rsidR="00461C6C" w:rsidRPr="00DD08E4">
        <w:rPr>
          <w:rFonts w:ascii="標楷體" w:eastAsia="標楷體" w:hAnsi="標楷體" w:cs="標楷體" w:hint="eastAsia"/>
          <w:kern w:val="0"/>
          <w:sz w:val="20"/>
          <w:szCs w:val="20"/>
        </w:rPr>
        <w:t>1131801710</w:t>
      </w:r>
      <w:r w:rsidRPr="00DD08E4">
        <w:rPr>
          <w:rFonts w:ascii="標楷體" w:eastAsia="標楷體" w:hAnsi="標楷體" w:cs="標楷體"/>
          <w:kern w:val="0"/>
          <w:sz w:val="20"/>
          <w:szCs w:val="20"/>
        </w:rPr>
        <w:t>號函修正</w:t>
      </w:r>
      <w:r w:rsidR="00461C6C" w:rsidRPr="00DD08E4">
        <w:rPr>
          <w:rFonts w:ascii="標楷體" w:eastAsia="標楷體" w:hAnsi="標楷體" w:cs="標楷體" w:hint="eastAsia"/>
          <w:kern w:val="0"/>
          <w:sz w:val="20"/>
          <w:szCs w:val="20"/>
        </w:rPr>
        <w:t>第</w:t>
      </w:r>
      <w:r w:rsidR="00617E75" w:rsidRPr="00DD08E4">
        <w:rPr>
          <w:rFonts w:ascii="標楷體" w:eastAsia="標楷體" w:hAnsi="標楷體" w:cs="標楷體" w:hint="eastAsia"/>
          <w:kern w:val="0"/>
          <w:sz w:val="20"/>
          <w:szCs w:val="20"/>
        </w:rPr>
        <w:t>四</w:t>
      </w:r>
      <w:r w:rsidR="00461C6C" w:rsidRPr="00DD08E4">
        <w:rPr>
          <w:rFonts w:ascii="標楷體" w:eastAsia="標楷體" w:hAnsi="標楷體" w:cs="標楷體" w:hint="eastAsia"/>
          <w:kern w:val="0"/>
          <w:sz w:val="20"/>
          <w:szCs w:val="20"/>
        </w:rPr>
        <w:t>、第</w:t>
      </w:r>
      <w:r w:rsidR="00617E75" w:rsidRPr="00DD08E4">
        <w:rPr>
          <w:rFonts w:ascii="標楷體" w:eastAsia="標楷體" w:hAnsi="標楷體" w:cs="標楷體" w:hint="eastAsia"/>
          <w:kern w:val="0"/>
          <w:sz w:val="20"/>
          <w:szCs w:val="20"/>
        </w:rPr>
        <w:t>六</w:t>
      </w:r>
      <w:r w:rsidR="00461C6C" w:rsidRPr="00DD08E4">
        <w:rPr>
          <w:rFonts w:ascii="標楷體" w:eastAsia="標楷體" w:hAnsi="標楷體" w:cs="標楷體" w:hint="eastAsia"/>
          <w:kern w:val="0"/>
          <w:sz w:val="20"/>
          <w:szCs w:val="20"/>
        </w:rPr>
        <w:t>點</w:t>
      </w:r>
    </w:p>
    <w:p w14:paraId="4FEE9A0F" w14:textId="77777777" w:rsidR="00E21C44" w:rsidRPr="00DD08E4" w:rsidRDefault="00C2303E">
      <w:pPr>
        <w:spacing w:line="460" w:lineRule="exact"/>
        <w:ind w:left="560" w:hanging="560"/>
        <w:jc w:val="both"/>
      </w:pPr>
      <w:r w:rsidRPr="00DD08E4">
        <w:rPr>
          <w:rFonts w:ascii="標楷體" w:eastAsia="標楷體" w:hAnsi="標楷體" w:cs="標楷體"/>
          <w:sz w:val="28"/>
          <w:szCs w:val="28"/>
        </w:rPr>
        <w:t>一</w:t>
      </w:r>
      <w:r w:rsidRPr="00DD08E4">
        <w:rPr>
          <w:rFonts w:ascii="標楷體" w:eastAsia="標楷體" w:hAnsi="標楷體"/>
          <w:sz w:val="28"/>
          <w:szCs w:val="28"/>
        </w:rPr>
        <w:t>、國家教育研究院（以下簡稱本院）為提高公文處理時效，以增進本院行政效能，參照「文書處理手冊」及「文書流程管理作業規範」訂定本要點。</w:t>
      </w:r>
    </w:p>
    <w:p w14:paraId="0F990034" w14:textId="77777777" w:rsidR="00E21C44" w:rsidRPr="00DD08E4" w:rsidRDefault="00C2303E">
      <w:pPr>
        <w:spacing w:line="460" w:lineRule="exact"/>
        <w:jc w:val="both"/>
      </w:pPr>
      <w:r w:rsidRPr="00DD08E4">
        <w:rPr>
          <w:rFonts w:ascii="標楷體" w:eastAsia="標楷體" w:hAnsi="標楷體"/>
          <w:sz w:val="28"/>
          <w:szCs w:val="28"/>
        </w:rPr>
        <w:t>二、本要點所稱日（天）數，除已明定為工作日者外，係指日曆天。</w:t>
      </w:r>
    </w:p>
    <w:p w14:paraId="7BA97AB1" w14:textId="77777777" w:rsidR="00E21C44" w:rsidRPr="00DD08E4" w:rsidRDefault="00C2303E">
      <w:pPr>
        <w:pStyle w:val="Web"/>
        <w:snapToGrid w:val="0"/>
        <w:spacing w:before="0" w:after="0" w:line="460" w:lineRule="exact"/>
        <w:jc w:val="both"/>
        <w:rPr>
          <w:rFonts w:ascii="標楷體" w:eastAsia="標楷體" w:hAnsi="標楷體"/>
          <w:color w:val="auto"/>
          <w:sz w:val="28"/>
          <w:szCs w:val="28"/>
        </w:rPr>
      </w:pPr>
      <w:r w:rsidRPr="00DD08E4">
        <w:rPr>
          <w:rFonts w:ascii="標楷體" w:eastAsia="標楷體" w:hAnsi="標楷體"/>
          <w:color w:val="auto"/>
          <w:sz w:val="28"/>
          <w:szCs w:val="28"/>
        </w:rPr>
        <w:t>三、權責劃分：</w:t>
      </w:r>
    </w:p>
    <w:p w14:paraId="2FD4D429" w14:textId="77777777" w:rsidR="00E21C44" w:rsidRPr="00DD08E4" w:rsidRDefault="00C2303E">
      <w:pPr>
        <w:pStyle w:val="Web"/>
        <w:numPr>
          <w:ilvl w:val="0"/>
          <w:numId w:val="1"/>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院長(副院長或主任秘書)：</w:t>
      </w:r>
    </w:p>
    <w:p w14:paraId="12DBE61D" w14:textId="77777777" w:rsidR="00E21C44" w:rsidRPr="00DD08E4" w:rsidRDefault="00C2303E">
      <w:pPr>
        <w:pStyle w:val="Web"/>
        <w:numPr>
          <w:ilvl w:val="0"/>
          <w:numId w:val="2"/>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審核展期超過三十日案件、專案管制案件及特殊性案件。</w:t>
      </w:r>
    </w:p>
    <w:p w14:paraId="1917A960" w14:textId="77777777" w:rsidR="00E21C44" w:rsidRPr="00DD08E4" w:rsidRDefault="00C2303E">
      <w:pPr>
        <w:pStyle w:val="Web"/>
        <w:numPr>
          <w:ilvl w:val="0"/>
          <w:numId w:val="2"/>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對逾處理時限三十日之案件，責成有關單位或人員限期結案。</w:t>
      </w:r>
    </w:p>
    <w:p w14:paraId="3BC97C40" w14:textId="77777777" w:rsidR="00E21C44" w:rsidRPr="00DD08E4" w:rsidRDefault="00C2303E">
      <w:pPr>
        <w:pStyle w:val="Web"/>
        <w:numPr>
          <w:ilvl w:val="0"/>
          <w:numId w:val="2"/>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核定公文時效優劣及文書流程稽核成果之獎懲案件。</w:t>
      </w:r>
    </w:p>
    <w:p w14:paraId="3BB07BD1" w14:textId="77777777" w:rsidR="00E21C44" w:rsidRPr="00DD08E4" w:rsidRDefault="00C2303E">
      <w:pPr>
        <w:pStyle w:val="Web"/>
        <w:numPr>
          <w:ilvl w:val="0"/>
          <w:numId w:val="1"/>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各單位主管：</w:t>
      </w:r>
    </w:p>
    <w:p w14:paraId="7C8ACF39" w14:textId="77777777" w:rsidR="00E21C44" w:rsidRPr="00DD08E4" w:rsidRDefault="00C2303E">
      <w:pPr>
        <w:pStyle w:val="Web"/>
        <w:numPr>
          <w:ilvl w:val="0"/>
          <w:numId w:val="3"/>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充分掌握公文查催資料，即時督促承辦人作業時效。</w:t>
      </w:r>
    </w:p>
    <w:p w14:paraId="743CB6CA" w14:textId="77777777" w:rsidR="00E21C44" w:rsidRPr="00DD08E4" w:rsidRDefault="00C2303E">
      <w:pPr>
        <w:pStyle w:val="Web"/>
        <w:numPr>
          <w:ilvl w:val="0"/>
          <w:numId w:val="3"/>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就本單位逾期案件未辦理展期者，應即督促承辦人妥適處理。</w:t>
      </w:r>
    </w:p>
    <w:p w14:paraId="583D519A" w14:textId="77777777" w:rsidR="00E21C44" w:rsidRPr="00DD08E4" w:rsidRDefault="00C2303E">
      <w:pPr>
        <w:pStyle w:val="Web"/>
        <w:numPr>
          <w:ilvl w:val="0"/>
          <w:numId w:val="3"/>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督促代理人於時限內辦妥應代理之公文或申請展期，以落實職務代理制度。</w:t>
      </w:r>
    </w:p>
    <w:p w14:paraId="43706247" w14:textId="77777777" w:rsidR="00E21C44" w:rsidRPr="00DD08E4" w:rsidRDefault="00C2303E">
      <w:pPr>
        <w:pStyle w:val="Web"/>
        <w:numPr>
          <w:ilvl w:val="0"/>
          <w:numId w:val="3"/>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對一般公文來文之處理速別與公文性質不符者，得核准調整來文處理速別，或指定授權人員核准調整之。</w:t>
      </w:r>
    </w:p>
    <w:p w14:paraId="497715C2" w14:textId="77777777" w:rsidR="00E21C44" w:rsidRPr="00DD08E4" w:rsidRDefault="00C2303E">
      <w:pPr>
        <w:pStyle w:val="Web"/>
        <w:numPr>
          <w:ilvl w:val="0"/>
          <w:numId w:val="3"/>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對涉及二個以上單位之作業，宜與相關單位商定原則後再行處理，避免因往來會稿而延誤時效。</w:t>
      </w:r>
    </w:p>
    <w:p w14:paraId="788A96C1" w14:textId="77777777" w:rsidR="00E21C44" w:rsidRPr="00DD08E4" w:rsidRDefault="00C2303E">
      <w:pPr>
        <w:pStyle w:val="Web"/>
        <w:numPr>
          <w:ilvl w:val="0"/>
          <w:numId w:val="3"/>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核准退文改分申請，或指定授權人員核准。</w:t>
      </w:r>
    </w:p>
    <w:p w14:paraId="77C65DCD" w14:textId="77777777" w:rsidR="00E21C44" w:rsidRPr="00DD08E4" w:rsidRDefault="00C2303E">
      <w:pPr>
        <w:pStyle w:val="Web"/>
        <w:numPr>
          <w:ilvl w:val="0"/>
          <w:numId w:val="3"/>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有關公文時效之優劣案件建議獎懲。</w:t>
      </w:r>
    </w:p>
    <w:p w14:paraId="10096CB3" w14:textId="77777777" w:rsidR="00E21C44" w:rsidRPr="00DD08E4" w:rsidRDefault="00C2303E">
      <w:pPr>
        <w:pStyle w:val="Web"/>
        <w:numPr>
          <w:ilvl w:val="0"/>
          <w:numId w:val="1"/>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承辦人：</w:t>
      </w:r>
    </w:p>
    <w:p w14:paraId="549BBFCE" w14:textId="77777777" w:rsidR="00E21C44" w:rsidRPr="00DD08E4" w:rsidRDefault="00C2303E">
      <w:pPr>
        <w:pStyle w:val="Web"/>
        <w:numPr>
          <w:ilvl w:val="0"/>
          <w:numId w:val="4"/>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lastRenderedPageBreak/>
        <w:t>對於承辦之公文應注意時效，主動追蹤進度，必要時應持陳、持會、送發，並依公文性質正確歸類及登錄，以掌握正確流程。</w:t>
      </w:r>
    </w:p>
    <w:p w14:paraId="761A2530" w14:textId="77777777" w:rsidR="00E21C44" w:rsidRPr="00DD08E4" w:rsidRDefault="00C2303E">
      <w:pPr>
        <w:pStyle w:val="Web"/>
        <w:numPr>
          <w:ilvl w:val="0"/>
          <w:numId w:val="4"/>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就每日公文系統寄送之稽催或逾期通知案件，應立即處理，或視需要申請展期，或檢核更正公文類別。</w:t>
      </w:r>
    </w:p>
    <w:p w14:paraId="64119D18" w14:textId="77777777" w:rsidR="00E21C44" w:rsidRPr="00DD08E4" w:rsidRDefault="00C2303E">
      <w:pPr>
        <w:pStyle w:val="Web"/>
        <w:numPr>
          <w:ilvl w:val="0"/>
          <w:numId w:val="4"/>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就涉及他單位之業務，主動聯繫會辦單位溝通協（會）商，並預留合理會辦時間。</w:t>
      </w:r>
    </w:p>
    <w:p w14:paraId="12C488E6" w14:textId="77777777" w:rsidR="00E21C44" w:rsidRPr="00DD08E4" w:rsidRDefault="00C2303E">
      <w:pPr>
        <w:pStyle w:val="Web"/>
        <w:numPr>
          <w:ilvl w:val="0"/>
          <w:numId w:val="4"/>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必須展期時，報請單位主管核准，但累積展期超過三十日以上時，應陳報院長核准。</w:t>
      </w:r>
    </w:p>
    <w:p w14:paraId="18C4979B" w14:textId="77777777" w:rsidR="00E21C44" w:rsidRPr="00DD08E4" w:rsidRDefault="00C2303E">
      <w:pPr>
        <w:pStyle w:val="Web"/>
        <w:numPr>
          <w:ilvl w:val="0"/>
          <w:numId w:val="4"/>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承辦人員或核稿人員公差、請假時，應由職務代理人代辦，以免延誤時效。</w:t>
      </w:r>
    </w:p>
    <w:p w14:paraId="48F8C3B0" w14:textId="77777777" w:rsidR="00E21C44" w:rsidRPr="00DD08E4" w:rsidRDefault="00C2303E">
      <w:pPr>
        <w:pStyle w:val="Web"/>
        <w:numPr>
          <w:ilvl w:val="0"/>
          <w:numId w:val="1"/>
        </w:numPr>
        <w:snapToGrid w:val="0"/>
        <w:spacing w:before="0" w:after="0" w:line="460" w:lineRule="exact"/>
        <w:ind w:left="1497"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文書及檔案管理單位：</w:t>
      </w:r>
    </w:p>
    <w:p w14:paraId="0A78217D" w14:textId="77777777" w:rsidR="00E21C44" w:rsidRPr="00DD08E4" w:rsidRDefault="00C2303E">
      <w:pPr>
        <w:pStyle w:val="Web"/>
        <w:numPr>
          <w:ilvl w:val="0"/>
          <w:numId w:val="5"/>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正確登錄公文從收文至發文、歸檔之處理過程。</w:t>
      </w:r>
    </w:p>
    <w:p w14:paraId="3DA97720" w14:textId="77777777" w:rsidR="00E21C44" w:rsidRPr="00DD08E4" w:rsidRDefault="00C2303E">
      <w:pPr>
        <w:pStyle w:val="Web"/>
        <w:numPr>
          <w:ilvl w:val="0"/>
          <w:numId w:val="5"/>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總收文專責人員，每日收到之公文，應以當日編號登錄送承辦單位為原則；惟於下班前二小時內收文者，得於次日登錄送辦。但屬急要公文應隨到隨辦。</w:t>
      </w:r>
    </w:p>
    <w:p w14:paraId="294BE1BD" w14:textId="77777777" w:rsidR="00E21C44" w:rsidRPr="00DD08E4" w:rsidRDefault="00C2303E">
      <w:pPr>
        <w:pStyle w:val="Web"/>
        <w:numPr>
          <w:ilvl w:val="0"/>
          <w:numId w:val="5"/>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文件之遞送除急要文件應隨到隨送外，其餘文件以每日上下午分批遞送為原則。</w:t>
      </w:r>
    </w:p>
    <w:p w14:paraId="5F1FE4B4" w14:textId="77777777" w:rsidR="00E21C44" w:rsidRPr="00DD08E4" w:rsidRDefault="00C2303E">
      <w:pPr>
        <w:pStyle w:val="Web"/>
        <w:numPr>
          <w:ilvl w:val="0"/>
          <w:numId w:val="5"/>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訂定文書流程管理作業、獎懲及公文檢核相關規定。</w:t>
      </w:r>
    </w:p>
    <w:p w14:paraId="6595AD72" w14:textId="77777777" w:rsidR="00E21C44" w:rsidRPr="00DD08E4" w:rsidRDefault="00C2303E">
      <w:pPr>
        <w:pStyle w:val="Web"/>
        <w:numPr>
          <w:ilvl w:val="0"/>
          <w:numId w:val="5"/>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本院各單位公文時效之管制及稽催相關事項。</w:t>
      </w:r>
    </w:p>
    <w:p w14:paraId="3A2BE95F" w14:textId="77777777" w:rsidR="00E21C44" w:rsidRPr="00DD08E4" w:rsidRDefault="00C2303E">
      <w:pPr>
        <w:pStyle w:val="Web"/>
        <w:numPr>
          <w:ilvl w:val="0"/>
          <w:numId w:val="5"/>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每月定期提報各單位公文處理時效，簽核後送各單位參考，必要時作為升遷考核及年終考績（核）之參考依據。</w:t>
      </w:r>
    </w:p>
    <w:p w14:paraId="41A4BE20" w14:textId="77777777" w:rsidR="00E21C44" w:rsidRPr="00DD08E4" w:rsidRDefault="00C2303E">
      <w:pPr>
        <w:pStyle w:val="Web"/>
        <w:numPr>
          <w:ilvl w:val="0"/>
          <w:numId w:val="5"/>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對逾處理時限三十日未結案件，進行個案（件）分析處理。</w:t>
      </w:r>
    </w:p>
    <w:p w14:paraId="681E9894" w14:textId="77777777" w:rsidR="00E21C44" w:rsidRPr="00DD08E4" w:rsidRDefault="00C2303E">
      <w:pPr>
        <w:pStyle w:val="Web"/>
        <w:numPr>
          <w:ilvl w:val="0"/>
          <w:numId w:val="5"/>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依本院文書流程管理稽核計畫定期及不定期辦理公文檢核及追蹤改進。</w:t>
      </w:r>
    </w:p>
    <w:p w14:paraId="78D0667D" w14:textId="77777777" w:rsidR="00E21C44" w:rsidRPr="00DD08E4" w:rsidRDefault="00C2303E">
      <w:pPr>
        <w:pStyle w:val="Web"/>
        <w:snapToGrid w:val="0"/>
        <w:spacing w:before="0" w:after="0" w:line="460" w:lineRule="exact"/>
        <w:ind w:left="12" w:firstLine="2"/>
        <w:jc w:val="both"/>
        <w:rPr>
          <w:rFonts w:ascii="標楷體" w:eastAsia="標楷體" w:hAnsi="標楷體"/>
          <w:color w:val="auto"/>
          <w:sz w:val="28"/>
          <w:szCs w:val="28"/>
        </w:rPr>
      </w:pPr>
      <w:r w:rsidRPr="00DD08E4">
        <w:rPr>
          <w:rFonts w:ascii="標楷體" w:eastAsia="標楷體" w:hAnsi="標楷體"/>
          <w:color w:val="auto"/>
          <w:sz w:val="28"/>
          <w:szCs w:val="28"/>
        </w:rPr>
        <w:t>四、公文處理時限：</w:t>
      </w:r>
    </w:p>
    <w:p w14:paraId="6DF8CBDC" w14:textId="77777777" w:rsidR="00E21C44" w:rsidRPr="00DD08E4" w:rsidRDefault="00C2303E">
      <w:pPr>
        <w:pStyle w:val="Web"/>
        <w:numPr>
          <w:ilvl w:val="0"/>
          <w:numId w:val="6"/>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一般公文：</w:t>
      </w:r>
    </w:p>
    <w:p w14:paraId="7CB199E6" w14:textId="77777777" w:rsidR="00E21C44" w:rsidRPr="00DD08E4" w:rsidRDefault="00C2303E">
      <w:pPr>
        <w:pStyle w:val="Web"/>
        <w:numPr>
          <w:ilvl w:val="0"/>
          <w:numId w:val="7"/>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lastRenderedPageBreak/>
        <w:t>最速件：一個工作日（但緊急公文仍須依個案需要之時限內完成）。</w:t>
      </w:r>
    </w:p>
    <w:p w14:paraId="446A0ACF" w14:textId="77777777" w:rsidR="00E21C44" w:rsidRPr="00DD08E4" w:rsidRDefault="00C2303E">
      <w:pPr>
        <w:pStyle w:val="Web"/>
        <w:numPr>
          <w:ilvl w:val="0"/>
          <w:numId w:val="7"/>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速件：三個工作日。</w:t>
      </w:r>
    </w:p>
    <w:p w14:paraId="332D8396" w14:textId="77777777" w:rsidR="00E21C44" w:rsidRPr="00DD08E4" w:rsidRDefault="00C2303E">
      <w:pPr>
        <w:pStyle w:val="Web"/>
        <w:numPr>
          <w:ilvl w:val="0"/>
          <w:numId w:val="7"/>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普通件：六個工作日。</w:t>
      </w:r>
    </w:p>
    <w:p w14:paraId="741DE9E8" w14:textId="77777777" w:rsidR="00E21C44" w:rsidRPr="00DD08E4" w:rsidRDefault="00C2303E">
      <w:pPr>
        <w:pStyle w:val="Web"/>
        <w:numPr>
          <w:ilvl w:val="0"/>
          <w:numId w:val="7"/>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限期公文：</w:t>
      </w:r>
    </w:p>
    <w:p w14:paraId="3AA35002" w14:textId="77777777" w:rsidR="00E21C44" w:rsidRPr="00DD08E4" w:rsidRDefault="00C2303E">
      <w:pPr>
        <w:pStyle w:val="Web"/>
        <w:numPr>
          <w:ilvl w:val="0"/>
          <w:numId w:val="8"/>
        </w:numPr>
        <w:snapToGrid w:val="0"/>
        <w:spacing w:before="0" w:after="0" w:line="460" w:lineRule="exact"/>
        <w:ind w:left="2920" w:hanging="482"/>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來文或依其他規定定有期限之公文，依其規定期限辦理。</w:t>
      </w:r>
    </w:p>
    <w:p w14:paraId="264137C4" w14:textId="77777777" w:rsidR="00E21C44" w:rsidRPr="00DD08E4" w:rsidRDefault="00C2303E">
      <w:pPr>
        <w:pStyle w:val="Web"/>
        <w:numPr>
          <w:ilvl w:val="0"/>
          <w:numId w:val="8"/>
        </w:numPr>
        <w:snapToGrid w:val="0"/>
        <w:spacing w:before="0" w:after="0" w:line="460" w:lineRule="exact"/>
        <w:ind w:left="2920" w:hanging="482"/>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收文時已逾文中所定期限者，該文仍應儘速辦理並得以普通件之處理時限辦理。</w:t>
      </w:r>
    </w:p>
    <w:p w14:paraId="2F052848" w14:textId="77777777" w:rsidR="00E21C44" w:rsidRPr="00DD08E4" w:rsidRDefault="00C2303E">
      <w:pPr>
        <w:pStyle w:val="Web"/>
        <w:numPr>
          <w:ilvl w:val="0"/>
          <w:numId w:val="8"/>
        </w:numPr>
        <w:snapToGrid w:val="0"/>
        <w:spacing w:before="0" w:after="0" w:line="460" w:lineRule="exact"/>
        <w:ind w:left="2920" w:hanging="482"/>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變更來文所定期限者，應聯繫來文機關確認。</w:t>
      </w:r>
    </w:p>
    <w:p w14:paraId="73E70FF8" w14:textId="77777777" w:rsidR="00E21C44" w:rsidRPr="00DD08E4" w:rsidRDefault="00C2303E">
      <w:pPr>
        <w:pStyle w:val="Web"/>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5.專案管制案件：涉及政策、法令或需多方會辦、分辦，且需三十日以上方可辦結之複雜案件，得申請為專案管制案件；其作業方式如下：</w:t>
      </w:r>
    </w:p>
    <w:p w14:paraId="025C97AE" w14:textId="77777777" w:rsidR="00E21C44" w:rsidRPr="00DD08E4" w:rsidRDefault="00C2303E">
      <w:pPr>
        <w:pStyle w:val="Web"/>
        <w:numPr>
          <w:ilvl w:val="0"/>
          <w:numId w:val="9"/>
        </w:numPr>
        <w:snapToGrid w:val="0"/>
        <w:spacing w:before="0" w:after="0" w:line="460" w:lineRule="exact"/>
        <w:ind w:left="2920" w:hanging="482"/>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需於公文處理時限屆期前依規定提出申請。</w:t>
      </w:r>
    </w:p>
    <w:p w14:paraId="3533A7FB" w14:textId="77777777" w:rsidR="00E21C44" w:rsidRPr="00DD08E4" w:rsidRDefault="00C2303E">
      <w:pPr>
        <w:pStyle w:val="Web"/>
        <w:numPr>
          <w:ilvl w:val="0"/>
          <w:numId w:val="9"/>
        </w:numPr>
        <w:snapToGrid w:val="0"/>
        <w:spacing w:before="0" w:after="0" w:line="460" w:lineRule="exact"/>
        <w:ind w:left="2920" w:hanging="482"/>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由承辦人敘明專案名稱與申請理由，並訂定作業時程及預定完成時間，簽請院長核准，並送管制單位備查。</w:t>
      </w:r>
    </w:p>
    <w:p w14:paraId="19C023C0" w14:textId="77777777" w:rsidR="00E21C44" w:rsidRPr="00DD08E4" w:rsidRDefault="00C2303E">
      <w:pPr>
        <w:pStyle w:val="Web"/>
        <w:numPr>
          <w:ilvl w:val="0"/>
          <w:numId w:val="9"/>
        </w:numPr>
        <w:snapToGrid w:val="0"/>
        <w:spacing w:before="0" w:after="0" w:line="460" w:lineRule="exact"/>
        <w:ind w:left="2920" w:hanging="482"/>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承辦人員應定期提報執行情形至結案為止。</w:t>
      </w:r>
    </w:p>
    <w:p w14:paraId="7B2845E0" w14:textId="77777777" w:rsidR="00E21C44" w:rsidRPr="00DD08E4" w:rsidRDefault="00C2303E">
      <w:pPr>
        <w:pStyle w:val="Web"/>
        <w:numPr>
          <w:ilvl w:val="0"/>
          <w:numId w:val="9"/>
        </w:numPr>
        <w:snapToGrid w:val="0"/>
        <w:spacing w:before="0" w:after="0" w:line="460" w:lineRule="exact"/>
        <w:ind w:left="2920" w:hanging="482"/>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專案管制案件，如超過預定完成時間，仍應申請展期。</w:t>
      </w:r>
    </w:p>
    <w:p w14:paraId="530DAD5E" w14:textId="77777777" w:rsidR="00E21C44" w:rsidRPr="00DD08E4" w:rsidRDefault="00C2303E">
      <w:pPr>
        <w:pStyle w:val="Web"/>
        <w:numPr>
          <w:ilvl w:val="0"/>
          <w:numId w:val="9"/>
        </w:numPr>
        <w:snapToGrid w:val="0"/>
        <w:spacing w:before="0" w:after="0" w:line="460" w:lineRule="exact"/>
        <w:ind w:left="2920" w:hanging="482"/>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立法委員質詢案件、人民陳情案、訴願案件、人民申請案件等已具專案性質，均不另列「專案管制案」。</w:t>
      </w:r>
    </w:p>
    <w:p w14:paraId="4EC0C6E4" w14:textId="77777777" w:rsidR="00E21C44" w:rsidRPr="00DD08E4" w:rsidRDefault="00C2303E">
      <w:pPr>
        <w:pStyle w:val="Web"/>
        <w:numPr>
          <w:ilvl w:val="0"/>
          <w:numId w:val="6"/>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立法委員質詢案件：以不逾三個工作日為限。</w:t>
      </w:r>
    </w:p>
    <w:p w14:paraId="549AE734" w14:textId="77777777" w:rsidR="00E21C44" w:rsidRPr="00DD08E4" w:rsidRDefault="00C2303E">
      <w:pPr>
        <w:pStyle w:val="Web"/>
        <w:numPr>
          <w:ilvl w:val="0"/>
          <w:numId w:val="6"/>
        </w:numPr>
        <w:snapToGrid w:val="0"/>
        <w:spacing w:before="0" w:after="0" w:line="460" w:lineRule="exact"/>
        <w:ind w:left="1412" w:hanging="561"/>
        <w:jc w:val="both"/>
        <w:rPr>
          <w:color w:val="auto"/>
        </w:rPr>
      </w:pPr>
      <w:r w:rsidRPr="00DD08E4">
        <w:rPr>
          <w:rFonts w:ascii="標楷體" w:eastAsia="標楷體" w:hAnsi="標楷體" w:cs="Times New Roman"/>
          <w:color w:val="auto"/>
          <w:sz w:val="28"/>
          <w:szCs w:val="28"/>
        </w:rPr>
        <w:t>人民申請案件：依行政程序法及本院公告之人民申請案件處理時限表(如附表)之各類處理期限辦理。未核准案件，能詳細說明理由答復陳情人；案件不合法定程式或手續時，主辦單位應詳細說明一次通知補正，不宜直接退文。</w:t>
      </w:r>
    </w:p>
    <w:p w14:paraId="55A48F94" w14:textId="77777777" w:rsidR="00E21C44" w:rsidRPr="00DD08E4" w:rsidRDefault="00C2303E">
      <w:pPr>
        <w:pStyle w:val="Web"/>
        <w:numPr>
          <w:ilvl w:val="0"/>
          <w:numId w:val="6"/>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人民陳情案件：五個工作日，另視情況經單位主管同意得辦理展期，惟展期後總日數不得超過三十日。</w:t>
      </w:r>
    </w:p>
    <w:p w14:paraId="25250ADE" w14:textId="77777777" w:rsidR="00E21C44" w:rsidRPr="00DD08E4" w:rsidRDefault="00C2303E">
      <w:pPr>
        <w:pStyle w:val="Web"/>
        <w:numPr>
          <w:ilvl w:val="0"/>
          <w:numId w:val="6"/>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lastRenderedPageBreak/>
        <w:t>訴願案件：依訴願法及其他相關法令規定之時限辦理。</w:t>
      </w:r>
    </w:p>
    <w:p w14:paraId="191EA1EB" w14:textId="77777777" w:rsidR="00E21C44" w:rsidRPr="00DD08E4" w:rsidRDefault="00C2303E">
      <w:pPr>
        <w:pStyle w:val="Web"/>
        <w:numPr>
          <w:ilvl w:val="0"/>
          <w:numId w:val="6"/>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監察案件：</w:t>
      </w:r>
    </w:p>
    <w:p w14:paraId="473681D9" w14:textId="77777777" w:rsidR="00E21C44" w:rsidRPr="00DD08E4" w:rsidRDefault="00C2303E">
      <w:pPr>
        <w:pStyle w:val="Web"/>
        <w:numPr>
          <w:ilvl w:val="0"/>
          <w:numId w:val="10"/>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糾正案：應於二個月內答復監察院，但於公文註明期限者，依其期限辦理。</w:t>
      </w:r>
    </w:p>
    <w:p w14:paraId="112034A2" w14:textId="77777777" w:rsidR="00E21C44" w:rsidRPr="00DD08E4" w:rsidRDefault="00C2303E">
      <w:pPr>
        <w:pStyle w:val="Web"/>
        <w:numPr>
          <w:ilvl w:val="0"/>
          <w:numId w:val="10"/>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委託調查案件、調查意見函請改善案件：於公文中註明辦理期限者，應依限答復。</w:t>
      </w:r>
    </w:p>
    <w:p w14:paraId="1B8FD351" w14:textId="77777777" w:rsidR="00E21C44" w:rsidRPr="00DD08E4" w:rsidRDefault="00C2303E">
      <w:pPr>
        <w:pStyle w:val="Web"/>
        <w:numPr>
          <w:ilvl w:val="0"/>
          <w:numId w:val="6"/>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其他事項：</w:t>
      </w:r>
    </w:p>
    <w:p w14:paraId="77AA8132" w14:textId="77777777" w:rsidR="00E21C44" w:rsidRPr="00DD08E4" w:rsidRDefault="00C2303E">
      <w:pPr>
        <w:pStyle w:val="Web"/>
        <w:numPr>
          <w:ilvl w:val="0"/>
          <w:numId w:val="11"/>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重要電傳及院長(副院長或主任秘書)、主管或其授權交辦急要公文，均應隨到隨辦，並應依期限辦結。</w:t>
      </w:r>
    </w:p>
    <w:p w14:paraId="632B52E6" w14:textId="77777777" w:rsidR="00E21C44" w:rsidRPr="00DD08E4" w:rsidRDefault="00C2303E">
      <w:pPr>
        <w:pStyle w:val="Web"/>
        <w:numPr>
          <w:ilvl w:val="0"/>
          <w:numId w:val="11"/>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公文改分：</w:t>
      </w:r>
    </w:p>
    <w:p w14:paraId="10182596" w14:textId="77777777" w:rsidR="00E21C44" w:rsidRPr="00DD08E4" w:rsidRDefault="00C2303E">
      <w:pPr>
        <w:pStyle w:val="Web"/>
        <w:numPr>
          <w:ilvl w:val="0"/>
          <w:numId w:val="12"/>
        </w:numPr>
        <w:snapToGrid w:val="0"/>
        <w:spacing w:before="0" w:after="0" w:line="460" w:lineRule="exact"/>
        <w:ind w:left="2920" w:hanging="482"/>
        <w:jc w:val="both"/>
        <w:rPr>
          <w:color w:val="auto"/>
        </w:rPr>
      </w:pPr>
      <w:r w:rsidRPr="00DD08E4">
        <w:rPr>
          <w:rFonts w:ascii="標楷體" w:eastAsia="標楷體" w:hAnsi="標楷體" w:cs="Times New Roman"/>
          <w:color w:val="auto"/>
          <w:sz w:val="28"/>
          <w:szCs w:val="28"/>
        </w:rPr>
        <w:t>改分案件務必於自收文起工作時間八小時內提出改分申請，逾期未提出者，即由該收文單位承辦。</w:t>
      </w:r>
    </w:p>
    <w:p w14:paraId="0966B1C7" w14:textId="77777777" w:rsidR="00E21C44" w:rsidRPr="00DD08E4" w:rsidRDefault="00C2303E">
      <w:pPr>
        <w:pStyle w:val="Web"/>
        <w:numPr>
          <w:ilvl w:val="0"/>
          <w:numId w:val="12"/>
        </w:numPr>
        <w:snapToGrid w:val="0"/>
        <w:spacing w:before="0" w:after="0" w:line="460" w:lineRule="exact"/>
        <w:ind w:left="2920" w:hanging="482"/>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改分作業至遲於收文次日確定主辦單位。</w:t>
      </w:r>
    </w:p>
    <w:p w14:paraId="43BEE14E" w14:textId="77777777" w:rsidR="00E21C44" w:rsidRPr="00DD08E4" w:rsidRDefault="00C2303E">
      <w:pPr>
        <w:pStyle w:val="Web"/>
        <w:numPr>
          <w:ilvl w:val="0"/>
          <w:numId w:val="12"/>
        </w:numPr>
        <w:snapToGrid w:val="0"/>
        <w:spacing w:before="0" w:after="0" w:line="460" w:lineRule="exact"/>
        <w:ind w:left="2920" w:hanging="482"/>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改分公文管制時效之起算點，仍以總收文原登錄收文日期為準。</w:t>
      </w:r>
    </w:p>
    <w:p w14:paraId="0CD64827" w14:textId="77777777" w:rsidR="00E21C44" w:rsidRPr="00DD08E4" w:rsidRDefault="00C2303E">
      <w:pPr>
        <w:pStyle w:val="Web"/>
        <w:snapToGrid w:val="0"/>
        <w:spacing w:before="0" w:after="0" w:line="460" w:lineRule="exact"/>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五、會辦公文：</w:t>
      </w:r>
    </w:p>
    <w:p w14:paraId="139AB957" w14:textId="77777777" w:rsidR="00E21C44" w:rsidRPr="00DD08E4" w:rsidRDefault="00C2303E">
      <w:pPr>
        <w:pStyle w:val="Web"/>
        <w:numPr>
          <w:ilvl w:val="0"/>
          <w:numId w:val="13"/>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每一過程之相關人員應主動積極確實掌握時效。</w:t>
      </w:r>
    </w:p>
    <w:p w14:paraId="31C508C9" w14:textId="77777777" w:rsidR="00E21C44" w:rsidRPr="00DD08E4" w:rsidRDefault="00C2303E">
      <w:pPr>
        <w:pStyle w:val="Web"/>
        <w:numPr>
          <w:ilvl w:val="0"/>
          <w:numId w:val="13"/>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同時會辦二個以上單位之公文，各會辦單位應確實掌握時效積極辦理。</w:t>
      </w:r>
    </w:p>
    <w:p w14:paraId="6EEEDA1D" w14:textId="77777777" w:rsidR="00E21C44" w:rsidRPr="00DD08E4" w:rsidRDefault="00C2303E">
      <w:pPr>
        <w:pStyle w:val="Web"/>
        <w:numPr>
          <w:ilvl w:val="0"/>
          <w:numId w:val="13"/>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會辦單位不得擅自退件或拒不會辦；會辦單位如有意見者，應依體制簽擬會辦意見，提供承辦單位參考或陳請長官核參。</w:t>
      </w:r>
    </w:p>
    <w:p w14:paraId="5C32753B" w14:textId="77777777" w:rsidR="00E21C44" w:rsidRPr="00DD08E4" w:rsidRDefault="00C2303E">
      <w:pPr>
        <w:pStyle w:val="Web"/>
        <w:snapToGrid w:val="0"/>
        <w:spacing w:before="0" w:after="0" w:line="460" w:lineRule="exact"/>
        <w:jc w:val="both"/>
        <w:rPr>
          <w:color w:val="auto"/>
        </w:rPr>
      </w:pPr>
      <w:r w:rsidRPr="00DD08E4">
        <w:rPr>
          <w:rFonts w:ascii="標楷體" w:eastAsia="標楷體" w:hAnsi="標楷體"/>
          <w:color w:val="auto"/>
          <w:sz w:val="28"/>
          <w:szCs w:val="28"/>
        </w:rPr>
        <w:t>六、公文展期：</w:t>
      </w:r>
    </w:p>
    <w:p w14:paraId="16C84B74" w14:textId="77777777" w:rsidR="00E21C44" w:rsidRPr="00DD08E4" w:rsidRDefault="00C2303E">
      <w:pPr>
        <w:pStyle w:val="Web"/>
        <w:numPr>
          <w:ilvl w:val="1"/>
          <w:numId w:val="14"/>
        </w:numPr>
        <w:snapToGrid w:val="0"/>
        <w:spacing w:before="0" w:after="0" w:line="460" w:lineRule="exact"/>
        <w:ind w:left="1412" w:hanging="561"/>
        <w:jc w:val="both"/>
        <w:rPr>
          <w:color w:val="auto"/>
        </w:rPr>
      </w:pPr>
      <w:r w:rsidRPr="00DD08E4">
        <w:rPr>
          <w:rFonts w:ascii="標楷體" w:eastAsia="標楷體" w:hAnsi="標楷體" w:cs="Times New Roman"/>
          <w:color w:val="auto"/>
          <w:sz w:val="28"/>
          <w:szCs w:val="28"/>
        </w:rPr>
        <w:t>案件經詳細檢討，預計不能於規定時間內辦結時，承辦人應於屆滿期限前，於公文系統填寫「公文展期申請單」，敘明展期原因及展延日期，依分層授權報請核准後辦理展期。</w:t>
      </w:r>
    </w:p>
    <w:p w14:paraId="1D034DA7" w14:textId="77777777" w:rsidR="00E21C44" w:rsidRPr="00DD08E4" w:rsidRDefault="00C2303E">
      <w:pPr>
        <w:pStyle w:val="Web"/>
        <w:numPr>
          <w:ilvl w:val="1"/>
          <w:numId w:val="14"/>
        </w:numPr>
        <w:snapToGrid w:val="0"/>
        <w:spacing w:before="0" w:after="0" w:line="460" w:lineRule="exact"/>
        <w:ind w:left="1412" w:hanging="561"/>
        <w:jc w:val="both"/>
        <w:rPr>
          <w:color w:val="auto"/>
        </w:rPr>
      </w:pPr>
      <w:r w:rsidRPr="00DD08E4">
        <w:rPr>
          <w:rFonts w:ascii="標楷體" w:eastAsia="標楷體" w:hAnsi="標楷體" w:cs="Times New Roman"/>
          <w:color w:val="auto"/>
          <w:sz w:val="28"/>
          <w:szCs w:val="28"/>
        </w:rPr>
        <w:t>展期日數包含原限辦日數十四日以下者，報請單位主管核准；累計逾十四日而未達三十日者，報請主任秘書核准，累計三十日以上者，應陳報院長核准。</w:t>
      </w:r>
    </w:p>
    <w:p w14:paraId="22C6AF1A" w14:textId="77777777" w:rsidR="00E21C44" w:rsidRPr="00DD08E4" w:rsidRDefault="00C2303E">
      <w:pPr>
        <w:pStyle w:val="Web"/>
        <w:numPr>
          <w:ilvl w:val="1"/>
          <w:numId w:val="14"/>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lastRenderedPageBreak/>
        <w:t>來文訂有答覆期限，因展期不能按期辦結時，承辦人應先協調通知來文機關。</w:t>
      </w:r>
    </w:p>
    <w:p w14:paraId="3B382B19" w14:textId="77777777" w:rsidR="00E21C44" w:rsidRPr="00DD08E4" w:rsidRDefault="00C2303E">
      <w:pPr>
        <w:pStyle w:val="Web"/>
        <w:numPr>
          <w:ilvl w:val="1"/>
          <w:numId w:val="14"/>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展期必須確屬需要，單位主管應確實審核或提示處理原則，儘量避免展期。</w:t>
      </w:r>
    </w:p>
    <w:p w14:paraId="74DA2FD3" w14:textId="77777777" w:rsidR="00E21C44" w:rsidRPr="00DD08E4" w:rsidRDefault="00C2303E">
      <w:pPr>
        <w:pStyle w:val="Web"/>
        <w:numPr>
          <w:ilvl w:val="1"/>
          <w:numId w:val="14"/>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人民申請案件：未能於公告之處理時限內辦結者，應於該處理期限內依分層負責核准延長，惟延長應以一次為限，其申請日數不得超過原公告處理時限，並應於原處理時限屆滿前將延長之事由通知申請人。</w:t>
      </w:r>
    </w:p>
    <w:p w14:paraId="7169B85F" w14:textId="77777777" w:rsidR="00E21C44" w:rsidRPr="00DD08E4" w:rsidRDefault="00C2303E">
      <w:pPr>
        <w:pStyle w:val="Web"/>
        <w:numPr>
          <w:ilvl w:val="1"/>
          <w:numId w:val="14"/>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人民陳情案件：未能於公告之處理時限內辦結之案件，應依分層負責核准延長，並將延長之理由以書面（或電子郵件）告知陳情人。</w:t>
      </w:r>
    </w:p>
    <w:p w14:paraId="7FD30520" w14:textId="77777777" w:rsidR="00E21C44" w:rsidRPr="00DD08E4" w:rsidRDefault="00C2303E">
      <w:pPr>
        <w:pStyle w:val="Web"/>
        <w:numPr>
          <w:ilvl w:val="1"/>
          <w:numId w:val="14"/>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監察案件：案情複雜且一時無法辦結函復之案件，應於限期內將辦理情形及未能結案之原因，於監察案件管理資訊系統先行回復監察院，並請監察院同意展期。</w:t>
      </w:r>
    </w:p>
    <w:p w14:paraId="5D789D20" w14:textId="77777777" w:rsidR="00E21C44" w:rsidRPr="00DD08E4" w:rsidRDefault="00C2303E">
      <w:pPr>
        <w:widowControl/>
        <w:snapToGrid w:val="0"/>
        <w:spacing w:line="460" w:lineRule="exact"/>
        <w:ind w:left="516" w:hanging="516"/>
        <w:jc w:val="both"/>
        <w:rPr>
          <w:rFonts w:ascii="標楷體" w:eastAsia="標楷體" w:hAnsi="標楷體" w:cs="Arial Unicode MS"/>
          <w:kern w:val="0"/>
          <w:sz w:val="28"/>
          <w:szCs w:val="28"/>
        </w:rPr>
      </w:pPr>
      <w:r w:rsidRPr="00DD08E4">
        <w:rPr>
          <w:rFonts w:ascii="標楷體" w:eastAsia="標楷體" w:hAnsi="標楷體" w:cs="Arial Unicode MS"/>
          <w:kern w:val="0"/>
          <w:sz w:val="28"/>
          <w:szCs w:val="28"/>
        </w:rPr>
        <w:t>七、獎懲規定：</w:t>
      </w:r>
    </w:p>
    <w:p w14:paraId="7730C23E" w14:textId="77777777" w:rsidR="00E21C44" w:rsidRPr="00DD08E4" w:rsidRDefault="00C2303E">
      <w:pPr>
        <w:pStyle w:val="Web"/>
        <w:numPr>
          <w:ilvl w:val="0"/>
          <w:numId w:val="15"/>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有以下情事者，由各單位主管簽報獎勵。</w:t>
      </w:r>
    </w:p>
    <w:p w14:paraId="2498BAC3" w14:textId="77777777" w:rsidR="00E21C44" w:rsidRPr="00DD08E4" w:rsidRDefault="00C2303E">
      <w:pPr>
        <w:pStyle w:val="Web"/>
        <w:numPr>
          <w:ilvl w:val="0"/>
          <w:numId w:val="16"/>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公文處理數量、速度、品質、內容難易程度等方面有優良表現人員。</w:t>
      </w:r>
    </w:p>
    <w:p w14:paraId="12419698" w14:textId="77777777" w:rsidR="00E21C44" w:rsidRPr="00DD08E4" w:rsidRDefault="00C2303E">
      <w:pPr>
        <w:pStyle w:val="Web"/>
        <w:numPr>
          <w:ilvl w:val="0"/>
          <w:numId w:val="16"/>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公文登錄、統計、分析、稽催等作業詳盡確實者，且於文書流程管理制度之落實推動有貢獻者。</w:t>
      </w:r>
    </w:p>
    <w:p w14:paraId="793B1131" w14:textId="77777777" w:rsidR="00E21C44" w:rsidRPr="00DD08E4" w:rsidRDefault="00C2303E">
      <w:pPr>
        <w:pStyle w:val="Web"/>
        <w:numPr>
          <w:ilvl w:val="0"/>
          <w:numId w:val="16"/>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辦理文書流程簡化工作具重大貢獻者。</w:t>
      </w:r>
    </w:p>
    <w:p w14:paraId="6A0F8C0B" w14:textId="77777777" w:rsidR="00E21C44" w:rsidRPr="00DD08E4" w:rsidRDefault="00C2303E">
      <w:pPr>
        <w:pStyle w:val="Web"/>
        <w:numPr>
          <w:ilvl w:val="0"/>
          <w:numId w:val="16"/>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提出文書流程管理制度之革新或改進建議，經採行確具績效者。</w:t>
      </w:r>
    </w:p>
    <w:p w14:paraId="717C7CF3" w14:textId="77777777" w:rsidR="00E21C44" w:rsidRPr="00DD08E4" w:rsidRDefault="00C2303E">
      <w:pPr>
        <w:pStyle w:val="Web"/>
        <w:numPr>
          <w:ilvl w:val="0"/>
          <w:numId w:val="15"/>
        </w:numPr>
        <w:snapToGrid w:val="0"/>
        <w:spacing w:before="0" w:after="0" w:line="460" w:lineRule="exact"/>
        <w:ind w:left="1412" w:hanging="56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有以下情事者，由單位主管、公文管制單位或其他相關單位簽報核處：</w:t>
      </w:r>
    </w:p>
    <w:p w14:paraId="4FD27940" w14:textId="77777777" w:rsidR="00E21C44" w:rsidRPr="00DD08E4" w:rsidRDefault="00C2303E">
      <w:pPr>
        <w:pStyle w:val="Web"/>
        <w:numPr>
          <w:ilvl w:val="0"/>
          <w:numId w:val="17"/>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擅改來文內容、損毀、棄置、遺失公文或檔案。</w:t>
      </w:r>
    </w:p>
    <w:p w14:paraId="58827992" w14:textId="77777777" w:rsidR="00E21C44" w:rsidRPr="00DD08E4" w:rsidRDefault="00C2303E">
      <w:pPr>
        <w:pStyle w:val="Web"/>
        <w:numPr>
          <w:ilvl w:val="0"/>
          <w:numId w:val="17"/>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逕收來文或交辦案未送收發人員登錄、無故積壓公文情形嚴重、逾期案件經辦理展期後仍有積壓事實者或公文應續辦未續辦，致利害關係人權益受損。</w:t>
      </w:r>
    </w:p>
    <w:p w14:paraId="207EB068" w14:textId="77777777" w:rsidR="00E21C44" w:rsidRPr="00DD08E4" w:rsidRDefault="00C2303E">
      <w:pPr>
        <w:pStyle w:val="Web"/>
        <w:numPr>
          <w:ilvl w:val="0"/>
          <w:numId w:val="17"/>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無故拒收公文或對承辦案件延不簽收逾二個工作日者。</w:t>
      </w:r>
    </w:p>
    <w:p w14:paraId="37423B81" w14:textId="77777777" w:rsidR="00E21C44" w:rsidRPr="00DD08E4" w:rsidRDefault="00C2303E">
      <w:pPr>
        <w:pStyle w:val="Web"/>
        <w:numPr>
          <w:ilvl w:val="0"/>
          <w:numId w:val="17"/>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lastRenderedPageBreak/>
        <w:t>應辦案件而簽存查或先存查再以創號發文經糾正再犯者。</w:t>
      </w:r>
    </w:p>
    <w:p w14:paraId="02F1A6C6" w14:textId="77777777" w:rsidR="00E21C44" w:rsidRPr="00DD08E4" w:rsidRDefault="00C2303E">
      <w:pPr>
        <w:pStyle w:val="Web"/>
        <w:numPr>
          <w:ilvl w:val="0"/>
          <w:numId w:val="17"/>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對公文登記及查催資料做不實之登錄或未經單位主管核准擅改紀錄者。</w:t>
      </w:r>
    </w:p>
    <w:p w14:paraId="0B97A46B" w14:textId="77777777" w:rsidR="00E21C44" w:rsidRPr="00DD08E4" w:rsidRDefault="00C2303E">
      <w:pPr>
        <w:pStyle w:val="Web"/>
        <w:numPr>
          <w:ilvl w:val="0"/>
          <w:numId w:val="17"/>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檔案未送秘書室歸檔，違反檔案法等相關規定。</w:t>
      </w:r>
    </w:p>
    <w:p w14:paraId="538B4FF9" w14:textId="3B79AE4E" w:rsidR="00E21C44" w:rsidRPr="00DD08E4" w:rsidRDefault="00C2303E">
      <w:pPr>
        <w:pStyle w:val="Web"/>
        <w:numPr>
          <w:ilvl w:val="0"/>
          <w:numId w:val="17"/>
        </w:numPr>
        <w:snapToGrid w:val="0"/>
        <w:spacing w:before="0" w:after="0" w:line="460" w:lineRule="exact"/>
        <w:ind w:left="2127" w:hanging="341"/>
        <w:jc w:val="both"/>
        <w:rPr>
          <w:rFonts w:ascii="標楷體" w:eastAsia="標楷體" w:hAnsi="標楷體" w:cs="Times New Roman"/>
          <w:color w:val="auto"/>
          <w:sz w:val="28"/>
          <w:szCs w:val="28"/>
        </w:rPr>
      </w:pPr>
      <w:r w:rsidRPr="00DD08E4">
        <w:rPr>
          <w:rFonts w:ascii="標楷體" w:eastAsia="標楷體" w:hAnsi="標楷體" w:cs="Times New Roman"/>
          <w:color w:val="auto"/>
          <w:sz w:val="28"/>
          <w:szCs w:val="28"/>
        </w:rPr>
        <w:t>延誤公文時效，情節重大者</w:t>
      </w:r>
      <w:r w:rsidR="0054363E">
        <w:rPr>
          <w:rFonts w:ascii="標楷體" w:eastAsia="標楷體" w:hAnsi="標楷體" w:cs="Times New Roman" w:hint="eastAsia"/>
          <w:color w:val="auto"/>
          <w:sz w:val="28"/>
          <w:szCs w:val="28"/>
        </w:rPr>
        <w:t>。</w:t>
      </w:r>
    </w:p>
    <w:p w14:paraId="2287EFA5" w14:textId="77777777" w:rsidR="00E21C44" w:rsidRPr="00DD08E4" w:rsidRDefault="00C2303E">
      <w:pPr>
        <w:pStyle w:val="a7"/>
        <w:widowControl/>
        <w:numPr>
          <w:ilvl w:val="0"/>
          <w:numId w:val="15"/>
        </w:numPr>
        <w:snapToGrid w:val="0"/>
        <w:spacing w:line="460" w:lineRule="exact"/>
        <w:ind w:left="1412" w:hanging="561"/>
        <w:jc w:val="both"/>
        <w:rPr>
          <w:rFonts w:ascii="標楷體" w:eastAsia="標楷體" w:hAnsi="標楷體"/>
          <w:sz w:val="28"/>
          <w:szCs w:val="28"/>
        </w:rPr>
      </w:pPr>
      <w:r w:rsidRPr="00DD08E4">
        <w:rPr>
          <w:rFonts w:ascii="標楷體" w:eastAsia="標楷體" w:hAnsi="標楷體"/>
          <w:sz w:val="28"/>
          <w:szCs w:val="28"/>
        </w:rPr>
        <w:t>前揭獎懲，得由院長、副院長、主任秘書交議或各單位主管主動提出，經相關會議審議通過後辦理。</w:t>
      </w:r>
    </w:p>
    <w:p w14:paraId="54016295" w14:textId="77777777" w:rsidR="00E21C44" w:rsidRPr="00DD08E4" w:rsidRDefault="00E21C44">
      <w:pPr>
        <w:widowControl/>
        <w:rPr>
          <w:rFonts w:ascii="標楷體" w:eastAsia="標楷體" w:hAnsi="標楷體"/>
          <w:sz w:val="28"/>
          <w:szCs w:val="28"/>
        </w:rPr>
      </w:pPr>
    </w:p>
    <w:sectPr w:rsidR="00E21C44" w:rsidRPr="00DD08E4">
      <w:pgSz w:w="11906" w:h="16838"/>
      <w:pgMar w:top="1418" w:right="1418" w:bottom="1418" w:left="1701"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E873D" w14:textId="77777777" w:rsidR="00507200" w:rsidRDefault="00507200">
      <w:r>
        <w:separator/>
      </w:r>
    </w:p>
  </w:endnote>
  <w:endnote w:type="continuationSeparator" w:id="0">
    <w:p w14:paraId="060FE1DB" w14:textId="77777777" w:rsidR="00507200" w:rsidRDefault="0050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9966" w14:textId="77777777" w:rsidR="00507200" w:rsidRDefault="00507200">
      <w:r>
        <w:rPr>
          <w:color w:val="000000"/>
        </w:rPr>
        <w:separator/>
      </w:r>
    </w:p>
  </w:footnote>
  <w:footnote w:type="continuationSeparator" w:id="0">
    <w:p w14:paraId="6DCFBEF8" w14:textId="77777777" w:rsidR="00507200" w:rsidRDefault="00507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461B"/>
    <w:multiLevelType w:val="multilevel"/>
    <w:tmpl w:val="7CC6480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2155487"/>
    <w:multiLevelType w:val="multilevel"/>
    <w:tmpl w:val="25266936"/>
    <w:lvl w:ilvl="0">
      <w:start w:val="1"/>
      <w:numFmt w:val="decimal"/>
      <w:lvlText w:val="%1."/>
      <w:lvlJc w:val="left"/>
      <w:pPr>
        <w:ind w:left="402" w:hanging="360"/>
      </w:pPr>
    </w:lvl>
    <w:lvl w:ilvl="1">
      <w:start w:val="1"/>
      <w:numFmt w:val="ideographTraditional"/>
      <w:lvlText w:val="%2、"/>
      <w:lvlJc w:val="left"/>
      <w:pPr>
        <w:ind w:left="1002" w:hanging="480"/>
      </w:pPr>
    </w:lvl>
    <w:lvl w:ilvl="2">
      <w:start w:val="1"/>
      <w:numFmt w:val="lowerRoman"/>
      <w:lvlText w:val="%3."/>
      <w:lvlJc w:val="right"/>
      <w:pPr>
        <w:ind w:left="1482" w:hanging="480"/>
      </w:pPr>
    </w:lvl>
    <w:lvl w:ilvl="3">
      <w:start w:val="1"/>
      <w:numFmt w:val="decimal"/>
      <w:lvlText w:val="%4."/>
      <w:lvlJc w:val="left"/>
      <w:pPr>
        <w:ind w:left="1962" w:hanging="480"/>
      </w:pPr>
    </w:lvl>
    <w:lvl w:ilvl="4">
      <w:start w:val="1"/>
      <w:numFmt w:val="ideographTraditional"/>
      <w:lvlText w:val="%5、"/>
      <w:lvlJc w:val="left"/>
      <w:pPr>
        <w:ind w:left="2442" w:hanging="480"/>
      </w:pPr>
    </w:lvl>
    <w:lvl w:ilvl="5">
      <w:start w:val="1"/>
      <w:numFmt w:val="lowerRoman"/>
      <w:lvlText w:val="%6."/>
      <w:lvlJc w:val="right"/>
      <w:pPr>
        <w:ind w:left="2922" w:hanging="480"/>
      </w:pPr>
    </w:lvl>
    <w:lvl w:ilvl="6">
      <w:start w:val="1"/>
      <w:numFmt w:val="decimal"/>
      <w:lvlText w:val="%7."/>
      <w:lvlJc w:val="left"/>
      <w:pPr>
        <w:ind w:left="3402" w:hanging="480"/>
      </w:pPr>
    </w:lvl>
    <w:lvl w:ilvl="7">
      <w:start w:val="1"/>
      <w:numFmt w:val="ideographTraditional"/>
      <w:lvlText w:val="%8、"/>
      <w:lvlJc w:val="left"/>
      <w:pPr>
        <w:ind w:left="3882" w:hanging="480"/>
      </w:pPr>
    </w:lvl>
    <w:lvl w:ilvl="8">
      <w:start w:val="1"/>
      <w:numFmt w:val="lowerRoman"/>
      <w:lvlText w:val="%9."/>
      <w:lvlJc w:val="right"/>
      <w:pPr>
        <w:ind w:left="4362" w:hanging="480"/>
      </w:pPr>
    </w:lvl>
  </w:abstractNum>
  <w:abstractNum w:abstractNumId="2" w15:restartNumberingAfterBreak="0">
    <w:nsid w:val="17926F19"/>
    <w:multiLevelType w:val="multilevel"/>
    <w:tmpl w:val="CF86E7D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E293336"/>
    <w:multiLevelType w:val="multilevel"/>
    <w:tmpl w:val="B468766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E86125F"/>
    <w:multiLevelType w:val="multilevel"/>
    <w:tmpl w:val="1722B6C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16A7D12"/>
    <w:multiLevelType w:val="multilevel"/>
    <w:tmpl w:val="F93AA84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C844723"/>
    <w:multiLevelType w:val="multilevel"/>
    <w:tmpl w:val="B194298E"/>
    <w:lvl w:ilvl="0">
      <w:start w:val="1"/>
      <w:numFmt w:val="taiwaneseCountingThousand"/>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B3A0C21"/>
    <w:multiLevelType w:val="multilevel"/>
    <w:tmpl w:val="F718E55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FC00721"/>
    <w:multiLevelType w:val="multilevel"/>
    <w:tmpl w:val="72CED116"/>
    <w:lvl w:ilvl="0">
      <w:start w:val="1"/>
      <w:numFmt w:val="decimal"/>
      <w:lvlText w:val="(%1)"/>
      <w:lvlJc w:val="left"/>
      <w:pPr>
        <w:ind w:left="480" w:hanging="480"/>
      </w:pPr>
      <w:rPr>
        <w:rFonts w:ascii="標楷體" w:eastAsia="標楷體" w:hAnsi="標楷體"/>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2DB3C29"/>
    <w:multiLevelType w:val="multilevel"/>
    <w:tmpl w:val="3D380BC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6B4754E9"/>
    <w:multiLevelType w:val="multilevel"/>
    <w:tmpl w:val="66449C8C"/>
    <w:lvl w:ilvl="0">
      <w:start w:val="5"/>
      <w:numFmt w:val="taiwaneseCountingThousand"/>
      <w:lvlText w:val="%1、"/>
      <w:lvlJc w:val="left"/>
      <w:pPr>
        <w:ind w:left="720" w:hanging="720"/>
      </w:pPr>
      <w:rPr>
        <w:color w:val="auto"/>
      </w:rPr>
    </w:lvl>
    <w:lvl w:ilvl="1">
      <w:start w:val="1"/>
      <w:numFmt w:val="taiwaneseCountingThousand"/>
      <w:lvlText w:val="(%2)"/>
      <w:lvlJc w:val="left"/>
      <w:pPr>
        <w:ind w:left="960" w:hanging="480"/>
      </w:pPr>
      <w:rPr>
        <w:rFonts w:ascii="標楷體" w:eastAsia="標楷體" w:hAnsi="標楷體"/>
        <w:sz w:val="28"/>
        <w:szCs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D9A79FF"/>
    <w:multiLevelType w:val="multilevel"/>
    <w:tmpl w:val="219233E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F3B05BF"/>
    <w:multiLevelType w:val="multilevel"/>
    <w:tmpl w:val="2BBE6E5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50D5699"/>
    <w:multiLevelType w:val="multilevel"/>
    <w:tmpl w:val="00EA8B0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8BB753E"/>
    <w:multiLevelType w:val="multilevel"/>
    <w:tmpl w:val="26B2E23E"/>
    <w:lvl w:ilvl="0">
      <w:start w:val="1"/>
      <w:numFmt w:val="taiwaneseCountingThousand"/>
      <w:lvlText w:val="(%1)"/>
      <w:lvlJc w:val="left"/>
      <w:pPr>
        <w:ind w:left="480" w:hanging="480"/>
      </w:pPr>
    </w:lvl>
    <w:lvl w:ilvl="1">
      <w:start w:val="1"/>
      <w:numFmt w:val="taiwaneseCountingThousand"/>
      <w:lvlText w:val="（%2）"/>
      <w:lvlJc w:val="left"/>
      <w:pPr>
        <w:ind w:left="1224" w:hanging="744"/>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7D6C7307"/>
    <w:multiLevelType w:val="multilevel"/>
    <w:tmpl w:val="3252E5D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F3558E2"/>
    <w:multiLevelType w:val="multilevel"/>
    <w:tmpl w:val="606214E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1"/>
  </w:num>
  <w:num w:numId="2">
    <w:abstractNumId w:val="15"/>
  </w:num>
  <w:num w:numId="3">
    <w:abstractNumId w:val="7"/>
  </w:num>
  <w:num w:numId="4">
    <w:abstractNumId w:val="2"/>
  </w:num>
  <w:num w:numId="5">
    <w:abstractNumId w:val="9"/>
  </w:num>
  <w:num w:numId="6">
    <w:abstractNumId w:val="6"/>
  </w:num>
  <w:num w:numId="7">
    <w:abstractNumId w:val="12"/>
  </w:num>
  <w:num w:numId="8">
    <w:abstractNumId w:val="4"/>
  </w:num>
  <w:num w:numId="9">
    <w:abstractNumId w:val="16"/>
  </w:num>
  <w:num w:numId="10">
    <w:abstractNumId w:val="1"/>
  </w:num>
  <w:num w:numId="11">
    <w:abstractNumId w:val="13"/>
  </w:num>
  <w:num w:numId="12">
    <w:abstractNumId w:val="8"/>
  </w:num>
  <w:num w:numId="13">
    <w:abstractNumId w:val="14"/>
  </w:num>
  <w:num w:numId="14">
    <w:abstractNumId w:val="10"/>
  </w:num>
  <w:num w:numId="15">
    <w:abstractNumId w:val="5"/>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C44"/>
    <w:rsid w:val="00040C79"/>
    <w:rsid w:val="00372C9B"/>
    <w:rsid w:val="00461C6C"/>
    <w:rsid w:val="00507200"/>
    <w:rsid w:val="0054363E"/>
    <w:rsid w:val="005D1659"/>
    <w:rsid w:val="00617E75"/>
    <w:rsid w:val="00C2303E"/>
    <w:rsid w:val="00DD08E4"/>
    <w:rsid w:val="00E21C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AB63"/>
  <w15:docId w15:val="{2EC7DE81-17D7-425D-B33E-E21B551C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Web">
    <w:name w:val="Normal (Web)"/>
    <w:basedOn w:val="a"/>
    <w:pPr>
      <w:widowControl/>
      <w:spacing w:before="100" w:after="100"/>
    </w:pPr>
    <w:rPr>
      <w:rFonts w:ascii="Arial Unicode MS" w:eastAsia="Arial Unicode MS" w:hAnsi="Arial Unicode MS" w:cs="Arial Unicode MS"/>
      <w:color w:val="000000"/>
      <w:kern w:val="0"/>
      <w:szCs w:val="24"/>
    </w:rPr>
  </w:style>
  <w:style w:type="paragraph" w:styleId="a7">
    <w:name w:val="List Paragraph"/>
    <w:basedOn w:val="a"/>
    <w:pPr>
      <w:ind w:left="480"/>
    </w:pPr>
  </w:style>
  <w:style w:type="paragraph" w:styleId="a8">
    <w:name w:val="Date"/>
    <w:basedOn w:val="a"/>
    <w:next w:val="a"/>
    <w:pPr>
      <w:jc w:val="right"/>
    </w:pPr>
  </w:style>
  <w:style w:type="character" w:customStyle="1" w:styleId="a9">
    <w:name w:val="日期 字元"/>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XiangHao</dc:creator>
  <dc:description/>
  <cp:lastModifiedBy>大將軍 游</cp:lastModifiedBy>
  <cp:revision>7</cp:revision>
  <cp:lastPrinted>2024-12-17T02:33:00Z</cp:lastPrinted>
  <dcterms:created xsi:type="dcterms:W3CDTF">2024-12-18T00:29:00Z</dcterms:created>
  <dcterms:modified xsi:type="dcterms:W3CDTF">2024-12-20T01:51:00Z</dcterms:modified>
</cp:coreProperties>
</file>